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sz w:val="32"/>
          <w:szCs w:val="24"/>
        </w:rPr>
      </w:pPr>
      <w:r w:rsidRPr="00A901FF">
        <w:rPr>
          <w:rFonts w:ascii="Arial" w:eastAsia="Times New Roman" w:hAnsi="Arial" w:cs="Arial"/>
          <w:b/>
          <w:bCs/>
          <w:caps/>
          <w:color w:val="000000"/>
          <w:sz w:val="32"/>
          <w:szCs w:val="24"/>
        </w:rPr>
        <w:t>groeiende gemeentes</w:t>
      </w:r>
      <w:bookmarkStart w:id="0" w:name="_GoBack"/>
      <w:bookmarkEnd w:id="0"/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A901FF">
        <w:rPr>
          <w:rFonts w:ascii="Arial" w:eastAsia="Times New Roman" w:hAnsi="Arial" w:cs="Arial"/>
          <w:b/>
          <w:bCs/>
          <w:caps/>
          <w:sz w:val="24"/>
          <w:szCs w:val="24"/>
        </w:rPr>
        <w:t>God se OPDRAG deur Jesus Christus verhelder</w:t>
      </w:r>
    </w:p>
    <w:p w:rsid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1FF">
        <w:rPr>
          <w:rFonts w:ascii="Arial" w:eastAsia="Times New Roman" w:hAnsi="Arial" w:cs="Arial"/>
          <w:b/>
          <w:sz w:val="24"/>
          <w:szCs w:val="24"/>
        </w:rPr>
        <w:t>INHOUDSOPGAWE</w:t>
      </w:r>
    </w:p>
    <w:p w:rsidR="00A901FF" w:rsidRPr="00A901FF" w:rsidRDefault="00A901FF" w:rsidP="00A901FF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A901FF" w:rsidRPr="00A901FF" w:rsidRDefault="00A901FF" w:rsidP="00A901FF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A901FF">
        <w:rPr>
          <w:rFonts w:ascii="Arial" w:eastAsia="Times New Roman" w:hAnsi="Arial" w:cs="Arial"/>
          <w:b/>
        </w:rPr>
        <w:t>INLEIDING</w:t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  <w:t>7</w:t>
      </w:r>
    </w:p>
    <w:p w:rsidR="00A901FF" w:rsidRPr="00A901FF" w:rsidRDefault="00A901FF" w:rsidP="00A901F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A901FF" w:rsidRPr="00A901FF" w:rsidRDefault="00A901FF" w:rsidP="00A901F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A901FF">
        <w:rPr>
          <w:rFonts w:ascii="Arial" w:eastAsia="Times New Roman" w:hAnsi="Arial" w:cs="Arial"/>
          <w:b/>
        </w:rPr>
        <w:t>GEBED</w:t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  <w:t>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A901FF">
        <w:rPr>
          <w:rFonts w:ascii="Arial" w:eastAsia="Times New Roman" w:hAnsi="Arial" w:cs="Arial"/>
          <w:b/>
        </w:rPr>
        <w:t>DEFINISIE VAN ‘N GESIN</w:t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  <w:t>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1FF">
        <w:rPr>
          <w:rFonts w:ascii="Arial" w:eastAsia="Times New Roman" w:hAnsi="Arial" w:cs="Arial"/>
          <w:b/>
          <w:color w:val="000000"/>
        </w:rPr>
        <w:t>DIE DOEL EN VOORDELE VAN GESINSBEDIENING</w:t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  <w:t>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Versterking van gesinne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9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Gesinslede kom tot beter insig oor die gesin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9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'n Nuwe waardering vir die huisgesin van God word ontwikkel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9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Gesinsbediening bou gesonde gesinne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10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Gesinsbediening bekamp negatiewe invloede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Gesinsbediening bied geleentheid vir geloofservaring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13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Gesinsbediening bevorder deelname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13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Gesinsbediening hanteer geestelike versorging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14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Gesinsbediening ontwikkel geestelike leiers en gawes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14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Gesinsbediening wortel in die verbond van God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15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Gesinsbediening smee verbintenisse in die gemeenskap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15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Gesinsbediening stimuleer rolvervulling in die gesin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Gesinsbediening beklemtoon waardes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18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Gesinsbediening beklemtoon verhoudings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18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Gesinsbediening beklemtoon wedersydse verwagtings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18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901FF">
        <w:rPr>
          <w:rFonts w:ascii="Arial" w:eastAsia="Times New Roman" w:hAnsi="Arial" w:cs="Arial"/>
          <w:b/>
          <w:bCs/>
        </w:rPr>
        <w:t>WAT VAN GESINSBEDIENING VERWAG KAN WORD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19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Persoonlike verhouding met God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A901FF">
        <w:rPr>
          <w:rFonts w:ascii="Arial" w:eastAsia="Times New Roman" w:hAnsi="Arial" w:cs="Arial"/>
          <w:b/>
          <w:bCs/>
          <w:iCs/>
        </w:rPr>
        <w:t>DIE GESIN IN ‘N TYD VAN SOSIALE KRISIS</w:t>
      </w:r>
      <w:r w:rsidRPr="00A901FF">
        <w:rPr>
          <w:rFonts w:ascii="Arial" w:eastAsia="Times New Roman" w:hAnsi="Arial" w:cs="Arial"/>
          <w:b/>
          <w:bCs/>
          <w:iCs/>
        </w:rPr>
        <w:tab/>
      </w:r>
      <w:r w:rsidRPr="00A901FF">
        <w:rPr>
          <w:rFonts w:ascii="Arial" w:eastAsia="Times New Roman" w:hAnsi="Arial" w:cs="Arial"/>
          <w:b/>
          <w:bCs/>
          <w:iCs/>
        </w:rPr>
        <w:tab/>
      </w:r>
      <w:r w:rsidRPr="00A901FF">
        <w:rPr>
          <w:rFonts w:ascii="Arial" w:eastAsia="Times New Roman" w:hAnsi="Arial" w:cs="Arial"/>
          <w:b/>
          <w:bCs/>
          <w:iCs/>
        </w:rPr>
        <w:tab/>
      </w:r>
      <w:r w:rsidRPr="00A901FF">
        <w:rPr>
          <w:rFonts w:ascii="Arial" w:eastAsia="Times New Roman" w:hAnsi="Arial" w:cs="Arial"/>
          <w:b/>
          <w:bCs/>
          <w:iCs/>
        </w:rPr>
        <w:tab/>
      </w:r>
      <w:r w:rsidRPr="00A901FF">
        <w:rPr>
          <w:rFonts w:ascii="Arial" w:eastAsia="Times New Roman" w:hAnsi="Arial" w:cs="Arial"/>
          <w:b/>
          <w:bCs/>
          <w:iCs/>
        </w:rPr>
        <w:tab/>
      </w:r>
      <w:r w:rsidRPr="00A901FF">
        <w:rPr>
          <w:rFonts w:ascii="Arial" w:eastAsia="Times New Roman" w:hAnsi="Arial" w:cs="Arial"/>
          <w:b/>
          <w:bCs/>
          <w:iCs/>
        </w:rPr>
        <w:tab/>
        <w:t>19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Algemene sosiale krisisse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Verwagting van die eindtyd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19</w:t>
      </w:r>
    </w:p>
    <w:p w:rsidR="00A901FF" w:rsidRPr="00A901FF" w:rsidRDefault="00A901FF" w:rsidP="00A901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A901FF">
        <w:rPr>
          <w:rFonts w:ascii="Arial" w:eastAsia="Times New Roman" w:hAnsi="Arial" w:cs="Arial"/>
          <w:b/>
          <w:bCs/>
        </w:rPr>
        <w:t>KRISIS IN KERK VRA VERANDERING IN DENKWYSE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20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Klemverskuiwings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20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Kerk, staat en markplein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Interaksie tussen kerk, staat en markplein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rol van kerk, staat en markplein ten opsigte van gesinne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Holistiese benaderng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Geloofsopvoeding in ‘n multikulturele sekulêre wêreld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Gemeente as kweek- en groeisisteem vir dienslewering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Onkunde by ouers oor geloofs</w:t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>opvoeding</w:t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ab/>
        <w:t>21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Belangrikste jare vir geestelike opvoeding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Verandering in denke en hart is nodig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Lewegenererende faktore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Kragtige werking van God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Visie, missie en aksie in God se teenwoordigheid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22</w:t>
      </w:r>
    </w:p>
    <w:p w:rsidR="00A901FF" w:rsidRPr="00A901FF" w:rsidRDefault="00A901FF" w:rsidP="00A901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A901FF">
        <w:rPr>
          <w:rFonts w:ascii="Arial" w:eastAsia="Times New Roman" w:hAnsi="Arial" w:cs="Arial"/>
          <w:b/>
          <w:bCs/>
        </w:rPr>
        <w:t>SIGBAARHEID VAN DIE KERK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23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Tegnologie en teologie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Materiële sekuriteit bied nie die eintlike antwoord nie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Sigbare kerk in die media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lastRenderedPageBreak/>
        <w:t>Oënskynlik het God en die kerk teruggetrek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God se onsigbare werking lei tot ‘n sigbare kerk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Sigbaarheid van die kerk in gesinne en portuurgroepe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Modelle en die sigbaarheid van die kerk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24</w:t>
      </w:r>
    </w:p>
    <w:p w:rsidR="00A901FF" w:rsidRPr="00A901FF" w:rsidRDefault="00A901FF" w:rsidP="00A901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DIE INSTELLINGS VAN GOD VIR FAMILIESKAP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25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God as Familiegod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25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Bybel en die gesin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Die huwelik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26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Die uitgebreide familie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26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Kinders in die gesin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26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Verhoudings in die gesin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26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Harmonie in die gesin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27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Eer aan die ouers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27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Botsende gesinswaardes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27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Gesinskonflik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27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‘n Alternatiewe huishouding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28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DIE GEMEENTE AS HUISHOUDING VAN GOD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29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Eienskappe van ‘n familiegemeente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Eenheid in God as basis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29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‘n Uit- en innodigende gemeente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29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‘n Gasvrye gemeente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29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'n Omgee-omgewing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30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‘n Diens en uitreikbediening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30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God se huishouding bokant bloedverwantskap verhef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30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Identiteitsvorming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Intieme onderlinge verhoudinge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31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Verstaanshandeling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‘N BYBELSE PERSPEKTIEF VIR GESINSBEDIENING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32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Opdrag van God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Handelinge 2:37-42 as riglyn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Invloed van die postmoderne konteks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Gesinne as medewerkers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1FF">
        <w:rPr>
          <w:rFonts w:ascii="Arial" w:eastAsia="Times New Roman" w:hAnsi="Arial" w:cs="Arial"/>
          <w:b/>
          <w:color w:val="000000"/>
        </w:rPr>
        <w:t>BYBELSE BEGINSELS VIR ‘N GESINSBEDIENING</w:t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  <w:t>34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Heilbeoefening deur assosiasie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34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901FF">
        <w:rPr>
          <w:rFonts w:ascii="Arial" w:eastAsia="Times New Roman" w:hAnsi="Arial" w:cs="Arial"/>
          <w:iCs/>
          <w:sz w:val="20"/>
          <w:szCs w:val="20"/>
        </w:rPr>
        <w:t>Behoeftegebaseerde 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'n Geloofwaardige bediening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35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'n Bediening om 'n uitgebreide geloofsfamilie te bou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35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'n Insluitende bediening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36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'n Gawe-georiënteerde bediening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36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'n Opbouende bediening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36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Gesinsbediening met gewone gesinne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OPVOEDINGSITUASIES IN DIE BYBEL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38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Die eerste vyf boeke van die Bybel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38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Die wesenlike van opvoedkundige onderrig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38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Aspekte van die leerproses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38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Opvoedingsituasie in die Nuwe Testament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38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taak van die gesin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39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color w:val="000000"/>
        </w:rPr>
      </w:pPr>
      <w:r w:rsidRPr="00A901FF">
        <w:rPr>
          <w:rFonts w:ascii="Arial" w:eastAsia="Times New Roman" w:hAnsi="Arial" w:cs="Arial"/>
          <w:b/>
          <w:bCs/>
          <w:iCs/>
          <w:color w:val="000000"/>
        </w:rPr>
        <w:t>OPVOEDING ‘N GODGEGEWE TAAK</w:t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  <w:t>39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Tieners word oorlaai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Groter generasie-gaping as voorheen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39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lastRenderedPageBreak/>
        <w:t>DIE TEOLOGIE VAN DIE GESIN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40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noodsaaklikheid van ’n gesinsteologie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God het ‘n antwoord vir die gesinsproblematiek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Duidelike teologiese standpunt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1FF">
        <w:rPr>
          <w:rFonts w:ascii="Arial" w:eastAsia="Times New Roman" w:hAnsi="Arial" w:cs="Arial"/>
          <w:b/>
          <w:color w:val="000000"/>
        </w:rPr>
        <w:t>BESKOUINGE VAN DIE GESIN</w:t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  <w:t>40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Ou en Nuwe Testament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40</w:t>
      </w:r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‘n Internasionale beskouing van die gesin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41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Verskillende beskouinge van die gesin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algemene beskouing van 'n hegte gesin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Ouers en die jeug se beskouing van die gesin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A901FF">
        <w:rPr>
          <w:rFonts w:ascii="Arial" w:eastAsia="Times New Roman" w:hAnsi="Arial" w:cs="Arial"/>
          <w:b/>
          <w:bCs/>
        </w:rPr>
        <w:t>VERSKILLENDE GESINSVORME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43</w:t>
      </w:r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Die kern- of nukleêre gesin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43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poligamiese gesin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44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uitgebreide gesin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44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enkelouergesin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44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Stieffamilies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44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verbondsgesin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postmoderne gesin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DIE GESIN AS VERBONDSISTEEM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47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Innige verhoudings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Verhoudingsnetwerk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Intimiteit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47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Dienslewering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47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DIE ROLLE VAN GESINSLEDE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48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Ouers se rol in die gesin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48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Tieners se posisie in die verbondsgemeenskap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50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Grootouers se posisie in die verbondsgemeenskap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A901FF">
        <w:rPr>
          <w:rFonts w:ascii="Arial" w:eastAsia="Times New Roman" w:hAnsi="Arial" w:cs="Arial"/>
          <w:b/>
        </w:rPr>
        <w:t xml:space="preserve"> 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DIE INVLOED VAN KULTUURVERSKUIWINGS OP GENERASIES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52</w:t>
      </w:r>
    </w:p>
    <w:p w:rsidR="00A901FF" w:rsidRPr="00A901FF" w:rsidRDefault="00A901FF" w:rsidP="00A901F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 xml:space="preserve">Kultuurverskuiwings oor die afgelope 80 jaar 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Generasiegaping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Paulus se metode om tieners te bereik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Kruiskulturele woonbuurte en skole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KULTURELE VERANDERING VRA ‘N NUWE JEUGBEDIENINGSTRATEGIE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54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Voortdurende kulturele verandering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Gevare van die hoofstroom jeugkultuur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Teenkultuur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bedreiging en verstaan van kulture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55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'n Christelike jeug-subkultuur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55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901FF">
        <w:rPr>
          <w:rFonts w:ascii="Arial" w:eastAsia="Times New Roman" w:hAnsi="Arial" w:cs="Arial"/>
          <w:iCs/>
          <w:sz w:val="20"/>
          <w:szCs w:val="20"/>
        </w:rPr>
        <w:t>Geestelike i.p.v. intellektuele oplossings</w:t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  <w:t>55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nodigheid van ‘n Christelike jeugsubkultuur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Fases in die jeugbediening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‘n Nuwe jeugsubkultuur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‘n Tienerkultuur-teologie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Kulturele konflik met botsende waardes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Die kerk sentraal in die wêreld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57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color w:val="000000"/>
        </w:rPr>
      </w:pPr>
      <w:r w:rsidRPr="00A901FF">
        <w:rPr>
          <w:rFonts w:ascii="Arial" w:eastAsia="Times New Roman" w:hAnsi="Arial" w:cs="Arial"/>
          <w:b/>
          <w:bCs/>
          <w:iCs/>
          <w:color w:val="000000"/>
        </w:rPr>
        <w:t>KRITIESE INGESTELDHEID VAN DIE JEUG</w:t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  <w:t>58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Kritiese ingesteldheid is ‘n gesonde houding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Emosionele onstabiliteit in gesinne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58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Faktore wat tieners definieer en hulle lewens rig 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lastRenderedPageBreak/>
        <w:t>Soekers na verskillende waarhede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58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Seksuele stimulering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59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'n Alles-toelaatbare-houding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59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Die jeug se toekomsvisie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59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DIE BEHOEFTES, GAWES EN TALENTE VAN DIE JEUG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59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Verandering van behoeftes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59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Behoefte aan dienswerk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Behoefte om te behoort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60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Behoefte aan sinvolheid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60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Behoefte aan 'n geestelike tuiste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61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Behoefte aan kontinuiteit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61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Behoefte aan indiwidualisering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61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16"/>
        </w:rPr>
      </w:pP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A901FF">
        <w:rPr>
          <w:rFonts w:ascii="Arial" w:eastAsia="Times New Roman" w:hAnsi="Arial" w:cs="Arial"/>
          <w:b/>
          <w:bCs/>
        </w:rPr>
        <w:t>DIE HUIDIGE SITUASIE VAN JEUGBEDIENING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62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901FF">
        <w:rPr>
          <w:rFonts w:ascii="Arial" w:eastAsia="Times New Roman" w:hAnsi="Arial" w:cs="Times New Roman"/>
          <w:sz w:val="20"/>
          <w:szCs w:val="20"/>
        </w:rPr>
        <w:t>Knelpunte by jeugbedieningsmodelle</w:t>
      </w:r>
      <w:r w:rsidRPr="00A901FF">
        <w:rPr>
          <w:rFonts w:ascii="Arial" w:eastAsia="Times New Roman" w:hAnsi="Arial" w:cs="Arial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62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Betekenisvolle jeugbedieningsmodelle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62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problematiek rondom jeugbediening in groepe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64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voordele van jeugbediening in groepe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color w:val="000000"/>
        </w:rPr>
      </w:pPr>
      <w:r w:rsidRPr="00A901FF">
        <w:rPr>
          <w:rFonts w:ascii="Arial" w:eastAsia="Times New Roman" w:hAnsi="Arial" w:cs="Arial"/>
          <w:b/>
          <w:bCs/>
          <w:color w:val="000000"/>
        </w:rPr>
        <w:t>‘N TEOLOGIESE BESINNING OOR JEUGBEDIENING</w:t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olor w:val="000000"/>
        </w:rPr>
        <w:tab/>
        <w:t>67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‘n Nuwe denkwyse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67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‘n Bybelse koersaanduiding vir jeugbediening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Die sentrale rol van die soewereine God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Jeugbediening geen substituut vir ouers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Verbondsmatig en verhoudingsmatig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Jeug-subkultuur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69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Waarom verloor die jeug belangstelling in die kerk?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69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A901FF">
        <w:rPr>
          <w:rFonts w:ascii="Arial" w:eastAsia="Times New Roman" w:hAnsi="Arial" w:cs="Arial"/>
          <w:b/>
          <w:bCs/>
        </w:rPr>
        <w:t>GEMEENTEMODELLE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70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V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lugmodel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70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Sendingmodel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70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Teokratiese model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70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Sekularisasie-model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70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901FF">
        <w:rPr>
          <w:rFonts w:ascii="Arial" w:eastAsia="Times New Roman" w:hAnsi="Arial" w:cs="Arial"/>
          <w:b/>
          <w:bCs/>
        </w:rPr>
        <w:t>EFFEKTIEWE STRATEGIEË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71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Herstel van huwelike en familietradisies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Samewerking tussen kerke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71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Samewerking tussen kerke en institute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72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Samewerking tussen kerk, staat en markplein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72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901FF">
        <w:rPr>
          <w:rFonts w:ascii="Arial" w:eastAsia="Times New Roman" w:hAnsi="Arial" w:cs="Arial"/>
          <w:iCs/>
          <w:sz w:val="20"/>
          <w:szCs w:val="20"/>
        </w:rPr>
        <w:t>Kinderopvoeding as gemeenskapstaak</w:t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sz w:val="20"/>
          <w:szCs w:val="20"/>
        </w:rPr>
        <w:tab/>
        <w:t>72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Missionêre benadering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73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</w:rPr>
      </w:pPr>
      <w:r w:rsidRPr="00A901FF">
        <w:rPr>
          <w:rFonts w:ascii="Arial" w:eastAsia="Times New Roman" w:hAnsi="Arial" w:cs="Arial"/>
          <w:b/>
          <w:bCs/>
          <w:caps/>
          <w:color w:val="000000"/>
        </w:rPr>
        <w:t>‘n inleidende oorsig oor GESINSBEDIENING</w:t>
      </w:r>
      <w:r w:rsidRPr="00A901FF">
        <w:rPr>
          <w:rFonts w:ascii="Arial" w:eastAsia="Times New Roman" w:hAnsi="Arial" w:cs="Arial"/>
          <w:b/>
          <w:bCs/>
          <w:cap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ap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ap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ap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caps/>
          <w:color w:val="000000"/>
        </w:rPr>
        <w:tab/>
        <w:t>75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Die nukleêre gesin is nie gedoem nie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75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 xml:space="preserve">Ouers keer terug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>waar gesinsbediening beoefen word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Gesinsbediening as ‘n nuwe veld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Skeptiese houding jeens gesinsbediening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Kennis van tieners se psigiese, fisiese en geestelike ontwikkeling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Koersaanduiding vir gesinne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Gesinsbediening as beginpunt vir evangelisasie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Gesinsbediening is ‘n gemeenskapsaktiwiteit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Gesinsbediening is kompleks en omvangryk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Gesinsbediening as ‘n aaneenlopende geloofsvormingsproses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Opbou van gesinne om na ander uit te reik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78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A901FF">
        <w:rPr>
          <w:rFonts w:ascii="Arial" w:eastAsia="Times New Roman" w:hAnsi="Arial" w:cs="Arial"/>
          <w:b/>
          <w:bCs/>
        </w:rPr>
        <w:t>DRIE PERSPEKTIEWE VIR GESINSBEDIENING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78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>Die terapeutiese perspektief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78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A901FF">
        <w:rPr>
          <w:rFonts w:ascii="Arial" w:eastAsia="Times New Roman" w:hAnsi="Arial" w:cs="Times New Roman"/>
          <w:sz w:val="20"/>
          <w:szCs w:val="20"/>
        </w:rPr>
        <w:t>Die nukleêre perspektief</w:t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  <w:t>78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gemeente-as-gesin-perspektief</w:t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 xml:space="preserve"> </w:t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</w:r>
      <w:r w:rsidRPr="00A901FF">
        <w:rPr>
          <w:rFonts w:ascii="Arial" w:eastAsia="Times New Roman" w:hAnsi="Arial" w:cs="Arial"/>
          <w:noProof/>
          <w:sz w:val="20"/>
          <w:szCs w:val="20"/>
          <w:lang w:val="af-ZA"/>
        </w:rPr>
        <w:tab/>
        <w:t>79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1FF">
        <w:rPr>
          <w:rFonts w:ascii="Arial" w:eastAsia="Times New Roman" w:hAnsi="Arial" w:cs="Arial"/>
          <w:b/>
          <w:color w:val="000000"/>
        </w:rPr>
        <w:t>‘N WERKBARE BENADERING VIR GESINSBEDIENING</w:t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</w:r>
      <w:r w:rsidRPr="00A901FF">
        <w:rPr>
          <w:rFonts w:ascii="Arial" w:eastAsia="Times New Roman" w:hAnsi="Arial" w:cs="Arial"/>
          <w:b/>
          <w:color w:val="000000"/>
        </w:rPr>
        <w:tab/>
        <w:t>82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aard van die gemeente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82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benadering wat gevolg gaan word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82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Gesinstipes wat in gesinsbediening ingesluit word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83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Die bepaling van die teikengroep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83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Gesinsbediening is gemeentebediening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83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>Gesinsbediening is jeugbediening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84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901FF">
        <w:rPr>
          <w:rFonts w:ascii="Arial" w:eastAsia="Times New Roman" w:hAnsi="Arial" w:cs="Arial"/>
          <w:b/>
          <w:bCs/>
        </w:rPr>
        <w:t>GEMEENSKAPSGERIGTE JEUG- EN GESINSBEDIENING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84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sz w:val="20"/>
          <w:szCs w:val="20"/>
        </w:rPr>
        <w:t xml:space="preserve">Wisselwerking tussen kerk en gemeenskap 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84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Verkenning van die gemeenskap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85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Persoonlike kontak met gemeenskapsnood</w:t>
      </w:r>
      <w:r w:rsidRPr="00A901FF">
        <w:rPr>
          <w:rFonts w:ascii="Arial" w:eastAsia="Times New Roman" w:hAnsi="Arial" w:cs="Arial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85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Die gesin as ruggraat van die gemeenskap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85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Gemeenskapsvriendelike gesinsbediening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86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Gemeenskapsgerigtheid stimuleer gemeentegroei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88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 xml:space="preserve">Die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fases</w:t>
      </w:r>
      <w:r w:rsidRPr="00A901FF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bCs/>
          <w:sz w:val="20"/>
          <w:szCs w:val="20"/>
        </w:rPr>
        <w:t>van geloofsontwikkeling in die gemeenskap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89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Faktore wat tot geloofshandelinge lei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90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Rituele in die gesin en algemene lewe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94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Versigtige gebruik van rituele in die gesinslewe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95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Die gesin as mini-kerk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95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color w:val="000000"/>
        </w:rPr>
      </w:pPr>
      <w:r w:rsidRPr="00A901FF">
        <w:rPr>
          <w:rFonts w:ascii="Arial" w:eastAsia="Times New Roman" w:hAnsi="Arial" w:cs="Arial"/>
          <w:b/>
          <w:bCs/>
          <w:iCs/>
          <w:color w:val="000000"/>
        </w:rPr>
        <w:t>GELOOFSOPVOEDING IN DIE GEMEENSKAP</w:t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</w:r>
      <w:r w:rsidRPr="00A901FF">
        <w:rPr>
          <w:rFonts w:ascii="Arial" w:eastAsia="Times New Roman" w:hAnsi="Arial" w:cs="Arial"/>
          <w:b/>
          <w:bCs/>
          <w:iCs/>
          <w:color w:val="000000"/>
        </w:rPr>
        <w:tab/>
        <w:t>95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Aktiewe en eksperimentele leer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95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Vier belangrike leerstyle in geloofsopvoeding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95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Integrasie van die vier leerstyle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96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Interaktiewe veranderlikes by geloofsopvoeding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96</w:t>
      </w:r>
    </w:p>
    <w:p w:rsidR="00A901FF" w:rsidRPr="00A901FF" w:rsidRDefault="00A901FF" w:rsidP="00A901FF">
      <w:pPr>
        <w:tabs>
          <w:tab w:val="left" w:pos="284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Kognitiewe, affektiewe en konatiewe faktore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97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Blootstelling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97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 xml:space="preserve">Die rolspelers by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>geloofs</w:t>
      </w:r>
      <w:r w:rsidRPr="00A901FF">
        <w:rPr>
          <w:rFonts w:ascii="Arial" w:eastAsia="Times New Roman" w:hAnsi="Arial" w:cs="Arial"/>
          <w:noProof/>
          <w:color w:val="000000"/>
          <w:sz w:val="20"/>
          <w:szCs w:val="20"/>
          <w:lang w:val="af-ZA"/>
        </w:rPr>
        <w:t>opvoeding</w:t>
      </w:r>
      <w:r w:rsidRPr="00A901FF">
        <w:rPr>
          <w:rFonts w:ascii="Arial" w:eastAsia="Times New Roman" w:hAnsi="Arial" w:cs="Arial"/>
          <w:bCs/>
          <w:sz w:val="20"/>
          <w:szCs w:val="20"/>
        </w:rPr>
        <w:t xml:space="preserve"> in die gemeenskap 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97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Wenke vir ouers met tieners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100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901FF">
        <w:rPr>
          <w:rFonts w:ascii="Arial" w:eastAsia="Times New Roman" w:hAnsi="Arial" w:cs="Arial"/>
          <w:b/>
          <w:bCs/>
        </w:rPr>
        <w:t>HOE DIE DOEL MET GESINSBEDIENING BEREIK KAN WORD</w:t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</w:r>
      <w:r w:rsidRPr="00A901FF">
        <w:rPr>
          <w:rFonts w:ascii="Arial" w:eastAsia="Times New Roman" w:hAnsi="Arial" w:cs="Arial"/>
          <w:b/>
          <w:bCs/>
        </w:rPr>
        <w:tab/>
        <w:t>101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A901FF">
        <w:rPr>
          <w:rFonts w:ascii="Arial" w:eastAsia="Times New Roman" w:hAnsi="Arial" w:cs="Times New Roman"/>
          <w:sz w:val="20"/>
          <w:szCs w:val="20"/>
        </w:rPr>
        <w:t xml:space="preserve">Neem die ekologie van die gesin in aanmerking </w:t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</w:r>
      <w:r w:rsidRPr="00A901FF">
        <w:rPr>
          <w:rFonts w:ascii="Arial" w:eastAsia="Times New Roman" w:hAnsi="Arial" w:cs="Times New Roman"/>
          <w:sz w:val="20"/>
          <w:szCs w:val="20"/>
        </w:rPr>
        <w:tab/>
        <w:t>101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 xml:space="preserve">Fokus op ‘n ontmoetingspunt tussen die goddelike en sekulêre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101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Fokus op die transformasie van die kultuur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102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'n Transformasiemodel vir kulturele verandering</w:t>
      </w:r>
      <w:r w:rsidRPr="00A901FF">
        <w:rPr>
          <w:rFonts w:ascii="Arial" w:eastAsia="Times New Roman" w:hAnsi="Arial" w:cs="Arial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</w:r>
      <w:r w:rsidRPr="00A901FF">
        <w:rPr>
          <w:rFonts w:ascii="Arial" w:eastAsia="Times New Roman" w:hAnsi="Arial" w:cs="Arial"/>
          <w:sz w:val="20"/>
          <w:szCs w:val="20"/>
        </w:rPr>
        <w:tab/>
        <w:t>104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Fokus op 'n gesonde gemeenskap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106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Fokus op die ontwikkeling van waardes </w:t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/>
          <w:iCs/>
          <w:sz w:val="20"/>
          <w:szCs w:val="20"/>
        </w:rPr>
        <w:tab/>
      </w:r>
      <w:r w:rsidRPr="00A901FF">
        <w:rPr>
          <w:rFonts w:ascii="Arial" w:eastAsia="Times New Roman" w:hAnsi="Arial" w:cs="Times New Roman"/>
          <w:iCs/>
          <w:sz w:val="20"/>
          <w:szCs w:val="20"/>
        </w:rPr>
        <w:t>106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A901FF">
        <w:rPr>
          <w:rFonts w:ascii="Arial" w:eastAsia="Times New Roman" w:hAnsi="Arial" w:cs="Arial"/>
          <w:b/>
        </w:rPr>
        <w:t>DIE PRAKTIESE UITVOERING VAN JEUG- EN GESINSBEDIENING</w:t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</w:r>
      <w:r w:rsidRPr="00A901FF">
        <w:rPr>
          <w:rFonts w:ascii="Arial" w:eastAsia="Times New Roman" w:hAnsi="Arial" w:cs="Arial"/>
          <w:b/>
        </w:rPr>
        <w:tab/>
        <w:t>108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Negatiewe gesigspunte oor gesinsbediening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108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Reaksies op die negatiewe gesigspunte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109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color w:val="000000"/>
          <w:sz w:val="20"/>
          <w:szCs w:val="20"/>
        </w:rPr>
        <w:t>Weerstand teen ‘n jeug- en gesinsbediening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109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Identifisering van negatiewe gesingspunte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109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sz w:val="20"/>
          <w:szCs w:val="20"/>
        </w:rPr>
        <w:t>Redes vir die moontlike mislukking van jeug- en gesinsbediening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110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Oorkoming van negatiwiteite</w:t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ab/>
        <w:t>110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Positiewe momente in die huidige gemeentebediening 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ab/>
        <w:t>111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‘n Strategie vir jeug- en gesinsbediening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112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Gesinsgesentreerde jeugbediening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114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Jeuggesentreerde gesinsbediening 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116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Die formulering van 'n jeug- en gesinsbediening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117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 xml:space="preserve">Vier beginsels vir die formulering van jeug- en gesinsbediening </w:t>
      </w:r>
      <w:r w:rsidRPr="00A901F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118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lastRenderedPageBreak/>
        <w:t>Die struktuur van jeug- en gesinsbediening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118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Jeugbediening in 'n nie-bedreigende omgewing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121</w:t>
      </w:r>
    </w:p>
    <w:p w:rsidR="00A901FF" w:rsidRPr="00A901FF" w:rsidRDefault="00A901FF" w:rsidP="00A9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Vier komponente in die uitdra van die blye boodskap</w:t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color w:val="000000"/>
          <w:sz w:val="20"/>
          <w:szCs w:val="20"/>
        </w:rPr>
        <w:t>121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Wenke vir die beplanningsfase</w:t>
      </w:r>
      <w:r w:rsidRPr="00A901F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iCs/>
          <w:sz w:val="20"/>
          <w:szCs w:val="20"/>
        </w:rPr>
        <w:tab/>
        <w:t>122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Koppel jeug- en gesinsbediening aan die gemeenskap</w:t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sz w:val="20"/>
          <w:szCs w:val="20"/>
        </w:rPr>
        <w:tab/>
        <w:t>132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Koppel met gemeenskap deur middel van berading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132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Verskillende ontmoetingspunte tussen kerk en wêreld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iCs/>
          <w:color w:val="000000"/>
          <w:sz w:val="20"/>
          <w:szCs w:val="20"/>
        </w:rPr>
        <w:t>134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Programme vir ‘n ontmoeting tussen gemeente en gemeenskap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137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Die infasering van jeug- en gesinsbediening met ‘n gemeenskapsgerigtheid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138</w:t>
      </w:r>
    </w:p>
    <w:p w:rsidR="00A901FF" w:rsidRPr="00A901FF" w:rsidRDefault="00A901FF" w:rsidP="00A901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sz w:val="20"/>
          <w:szCs w:val="20"/>
        </w:rPr>
        <w:t>Evaluering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color w:val="000000"/>
          <w:sz w:val="20"/>
          <w:szCs w:val="20"/>
        </w:rPr>
        <w:tab/>
        <w:t>138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Bekendmaking van resultate aan gemeente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140</w:t>
      </w:r>
    </w:p>
    <w:p w:rsidR="00A901FF" w:rsidRPr="00A901FF" w:rsidRDefault="00A901FF" w:rsidP="00A901FF">
      <w:p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>Langermynvisualisering</w:t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A901FF">
        <w:rPr>
          <w:rFonts w:ascii="Arial" w:eastAsia="Times New Roman" w:hAnsi="Arial" w:cs="Arial"/>
          <w:bCs/>
          <w:color w:val="000000"/>
          <w:sz w:val="20"/>
          <w:szCs w:val="20"/>
        </w:rPr>
        <w:tab/>
        <w:t>140</w:t>
      </w:r>
    </w:p>
    <w:p w:rsidR="00B17B42" w:rsidRDefault="00B17B42"/>
    <w:sectPr w:rsidR="00B1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FF"/>
    <w:rsid w:val="00A901FF"/>
    <w:rsid w:val="00B17B42"/>
    <w:rsid w:val="00C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2012-06-15T15:19:00Z</dcterms:created>
  <dcterms:modified xsi:type="dcterms:W3CDTF">2012-06-15T15:21:00Z</dcterms:modified>
</cp:coreProperties>
</file>